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报告一一、政治思想方面本人拥护中国党的路线、方针、政策、坚持四项基本原则，坚持改革开放，努力学习和践行马克思列宁主义、毛泽东思想、邓小平理论、三个代表的重要思想、科学发展观、习近平新时代中国特色社会主义思想，在思想、政治及行...</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马克思列宁主义、毛泽东思想、邓小平理论、三个代表的重要思想、科学发展观、习近平新时代中国特色社会主义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__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克思列宁主义、毛泽东思想、邓小平理论、三个代表的重要思想、科学发展观、习近平新时代中国特色社会主义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医生个人年终总结报告三</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_，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__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_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册管理工作，对每日新生儿童查行及时上卡，按程序接种，及时做好新生儿乙肝疫首针接种。截止1月上报新生儿童360人，建卡__360人，接种五苗567人，并对流动儿童的接种对象进行了转出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_工作，共体验6人、__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医生个人年终总结报告五</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