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【推荐】学校办公室工作总结三篇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【推荐】学校办公室工作总结三篇 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w:t>
      </w:r>
    </w:p>
    <w:p>
      <w:pPr>
        <w:ind w:left="0" w:right="0" w:firstLine="560"/>
        <w:spacing w:before="450" w:after="450" w:line="312" w:lineRule="auto"/>
      </w:pPr>
      <w:r>
        <w:rPr>
          <w:rFonts w:ascii="宋体" w:hAnsi="宋体" w:eastAsia="宋体" w:cs="宋体"/>
          <w:color w:val="000"/>
          <w:sz w:val="28"/>
          <w:szCs w:val="28"/>
        </w:rPr>
        <w:t xml:space="preserve">【推荐】学校办公室工作总结三篇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