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统战工作总结17篇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实际，操作性强，对做好基层统战工作具有很强的指导作用。以下是本站为大家整理的关于统战工作总结17篇范文，供大家参考选择。[_TAG_h2]统战工作总结篇1</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　&gt;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　&gt;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&gt;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6月29日上午，市委统战部召开半年工作总结会，回顾总结上半年工作，研究部署下半年任务。市委常委、统战部部长刘树华出席会议并讲话。</w:t>
      </w:r>
    </w:p>
    <w:p>
      <w:pPr>
        <w:ind w:left="0" w:right="0" w:firstLine="560"/>
        <w:spacing w:before="450" w:after="450" w:line="312" w:lineRule="auto"/>
      </w:pPr>
      <w:r>
        <w:rPr>
          <w:rFonts w:ascii="宋体" w:hAnsi="宋体" w:eastAsia="宋体" w:cs="宋体"/>
          <w:color w:val="000"/>
          <w:sz w:val="28"/>
          <w:szCs w:val="28"/>
        </w:rPr>
        <w:t xml:space="preserve">　　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　　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统战系统开创了新局面。</w:t>
      </w:r>
    </w:p>
    <w:p>
      <w:pPr>
        <w:ind w:left="0" w:right="0" w:firstLine="560"/>
        <w:spacing w:before="450" w:after="450" w:line="312" w:lineRule="auto"/>
      </w:pPr>
      <w:r>
        <w:rPr>
          <w:rFonts w:ascii="宋体" w:hAnsi="宋体" w:eastAsia="宋体" w:cs="宋体"/>
          <w:color w:val="000"/>
          <w:sz w:val="28"/>
          <w:szCs w:val="28"/>
        </w:rPr>
        <w:t xml:space="preserve">　　刘树华强调，在肯定成绩的同时，统战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