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高级新闻编辑年底工作总结3000字</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25年，中级(记者)职称15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202_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xx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xx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202_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202_越剧电视大赛“、“唱响禾城•202_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202_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年月，在电视台举行的中层干部竞聘活动中，本人认真地阐述了自己采编思想，积极地参与了答辩，最终竞聘到文化影视频道总监一职，在此后的工作中，本人一直努力提高组织管理能力，把自己负责的栏目越办越好。</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