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耕地进出平衡工作总结(6篇)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地进出平衡工作总结11、耕地保有量变化情况20xx年确定我县耕地保有量指标为万亩，保证了市政府下达我县20xx年耕地保有量。2、基本农田划定、保护面积及变化情况20xx年我县基本农田保护目标为万亩，20xx年期间无建设占用、生态退耕、农业...</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耕地进出平衡工作总结1</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耕地进出平衡工作总结2</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耕地进出平衡工作总结3</w:t>
      </w:r>
    </w:p>
    <w:p>
      <w:pPr>
        <w:ind w:left="0" w:right="0" w:firstLine="560"/>
        <w:spacing w:before="450" w:after="450" w:line="312" w:lineRule="auto"/>
      </w:pPr>
      <w:r>
        <w:rPr>
          <w:rFonts w:ascii="宋体" w:hAnsi="宋体" w:eastAsia="宋体" w:cs="宋体"/>
          <w:color w:val="000"/>
          <w:sz w:val="28"/>
          <w:szCs w:val="28"/>
        </w:rPr>
        <w:t xml:space="preserve">一年来，乡党委、政府认真贯彻落实中央、省、市相关会议精神xx县农业农村工作会议精神，按照《^v^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耕地进出平衡工作总结4</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“422”地球日、“625”土地日等系列宣传活动，采用电视宣传、办讲座、发传单等形式，使广大干部职工在思想上充分认识到开展耕地保护的重要性和必要性，为保护耕地工作打下了坚实的基础。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耕地进出平衡工作总结5</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耕地进出平衡工作总结6</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