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店铺帮扶工作总结报告(必备5篇)</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店铺帮扶工作总结报告120xx年，镇党委政府认真贯彻落实县办发[20xx]27号文件精神及县委经济工作会议精神，把“联手帮扶企业”工作作为推进镇域经济快速发展的重点工作来抓，通过加强组织领导，明确责任任务，突出帮扶重点，解决企业困难，全力服...</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店铺帮扶工作总结报告1</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_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店铺帮扶工作总结报告3</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店铺帮扶工作总结报告4</w:t>
      </w:r>
    </w:p>
    <w:p>
      <w:pPr>
        <w:ind w:left="0" w:right="0" w:firstLine="560"/>
        <w:spacing w:before="450" w:after="450" w:line="312" w:lineRule="auto"/>
      </w:pPr>
      <w:r>
        <w:rPr>
          <w:rFonts w:ascii="宋体" w:hAnsi="宋体" w:eastAsia="宋体" w:cs="宋体"/>
          <w:color w:val="000"/>
          <w:sz w:val="28"/>
          <w:szCs w:val="28"/>
        </w:rPr>
        <w:t xml:space="preserve">为较快推进帮扶企业承办的项目建设，我局就全县再生资源回收体系建设项目先后2次提请政府召开县长办公会议，已成立了由邹县长任组长的工作领导小组，县长办公会议研究同意将再生资源回收体系建设网点纳入城乡建设总体规划;同意再生资源回收体系建设用地按照工业用地基准地价出让;同意再生资源回收体系建设承办企业除享受国家规定的特殊政策待遇外，可同时享受我县招商引资优惠政策。目前，该企业借助国藩中电水工机械场地已完成废旧钢铁分拣加工区建设，完成设备安装70%，信息综合楼已建成，回收网点正有序整合、新建。3月份，省商务厅谢建辉厅长来双峰调研，专程察看了该企业，给予了高度评价，已支持该企业100万元。向省商务厅、财政厅申报了列入全省龙头企业和201x年度促进服务业发展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店铺帮扶工作总结报告5</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2025-05-14T13:00:13+08:00</dcterms:created>
  <dcterms:modified xsi:type="dcterms:W3CDTF">2025-05-14T13:00:13+08:00</dcterms:modified>
</cp:coreProperties>
</file>

<file path=docProps/custom.xml><?xml version="1.0" encoding="utf-8"?>
<Properties xmlns="http://schemas.openxmlformats.org/officeDocument/2006/custom-properties" xmlns:vt="http://schemas.openxmlformats.org/officeDocument/2006/docPropsVTypes"/>
</file>