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供电所年度工作总结3000字</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