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县人民法院落实三个规定工作总结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带来的县人民法院落实三个规定工作总结，希望能帮助到大家!　　县人民法院落实三个规定工作总结　　为认真贯彻...</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带来的县人民法院落实三个规定工作总结，希望能帮助到大家![_TAG_h2]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　　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　　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　　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　　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　　县人民法院落实三个规定工作总结</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