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国企体制内工作总结(精选3篇)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企体制内工作总结1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国企体制内工作总结1</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经营收入亿元，完成规划目标270亿元的;利润总额亿元，完成规划目标22亿元的，企业合并净利润亿元，完成规划目标16亿元的。</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_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_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_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国企体制内工作总结2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国企体制内工作总结3</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