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2024年项目负责人总结报告 项目负责人总结(8篇)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回顾总结：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平常脑子灵活，想法比较多，经常能想出好点子。而且思维明确，会针对项目的要求想出符合当地民情、民俗的旅游好项目。所有由她担任开发建设部主任一职。b平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平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平时非常的热心，爱好关心大家的生活琐事。而且有很强的责任心，不怕麻烦，耐心细致，有良好的服务态度。所以在此次项目中担任综合行政部主任，负责项目办的行政和后勤管理(包括车辆管理和环境卫生、员工宿舍、食堂</w:t>
      </w:r>
    </w:p>
    <w:p>
      <w:pPr>
        <w:ind w:left="0" w:right="0" w:firstLine="560"/>
        <w:spacing w:before="450" w:after="450" w:line="312" w:lineRule="auto"/>
      </w:pPr>
      <w:r>
        <w:rPr>
          <w:rFonts w:ascii="宋体" w:hAnsi="宋体" w:eastAsia="宋体" w:cs="宋体"/>
          <w:color w:val="000"/>
          <w:sz w:val="28"/>
          <w:szCs w:val="28"/>
        </w:rPr>
        <w:t xml:space="preserve">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项目负责人总结八</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