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读平凡的世界有感800的作文(十二篇)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的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读平凡的世界有感800的作文篇十一</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读平凡的世界有感800的作文篇十二</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