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2024年购房委托代理服务合同(五篇)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甲方：乙方：开户行：户名：银行帐号：甲、乙双方经友好协商，同意并签订以下条款：1.服务在协议签订后的__10-15___个工作日内，乙方向甲方提供第一批符合要求的候选人详细简历，每个职位提供简历2-3份。甲方在收到乙方...</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一、作为购买上述房屋及与开发商签订上述房屋的买卖合同及相关的附件，协议，代交首付款及相关费用。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文件，办理借款合同、授权委托书等法律文件的公正事宜（如果合同中有强制执行条款，我愿意办理强制执行的公正），并向银行及公证处提供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七、代为到相关管理部门查询住房登记记录信息并领取相关证明文件。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八、签署因为办理上述各项事宜需要的全部文件。</w:t>
      </w:r>
    </w:p>
    <w:p>
      <w:pPr>
        <w:ind w:left="0" w:right="0" w:firstLine="560"/>
        <w:spacing w:before="450" w:after="450" w:line="312" w:lineRule="auto"/>
      </w:pPr>
      <w:r>
        <w:rPr>
          <w:rFonts w:ascii="宋体" w:hAnsi="宋体" w:eastAsia="宋体" w:cs="宋体"/>
          <w:color w:val="000"/>
          <w:sz w:val="28"/>
          <w:szCs w:val="28"/>
        </w:rPr>
        <w:t xml:space="preserve">委托人在办理上述委托事宜范围内所签署的文件及提供相关的材料、缴纳的费用我均予以承认并愿意承担。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