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甲方：____________有限责任公司 　　乙方：________________________ 　　本着“竞争的一半是服务”的经营理念，为共同开拓市场，做好____________产品的售后服务工作，乙方在经销___________...</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