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龙泉驿区物业服务合同范本(5篇)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龙泉驿区物业服务合同范本1事实上，《四川省物业管理条例（修订草案）》不仅对选聘物业的方式进行了规定，还为将来业主自由选择物业服务企业提供了新思路。深耕物业管理行业多年的成都市人大代表付天力建议，市级管理部门可以建立覆盖城乡、全市统一的物业管...</w:t>
      </w:r>
    </w:p>
    <w:p>
      <w:pPr>
        <w:ind w:left="0" w:right="0" w:firstLine="560"/>
        <w:spacing w:before="450" w:after="450" w:line="312" w:lineRule="auto"/>
      </w:pPr>
      <w:r>
        <w:rPr>
          <w:rFonts w:ascii="黑体" w:hAnsi="黑体" w:eastAsia="黑体" w:cs="黑体"/>
          <w:color w:val="000000"/>
          <w:sz w:val="36"/>
          <w:szCs w:val="36"/>
          <w:b w:val="1"/>
          <w:bCs w:val="1"/>
        </w:rPr>
        <w:t xml:space="preserve">龙泉驿区物业服务合同范本1</w:t>
      </w:r>
    </w:p>
    <w:p>
      <w:pPr>
        <w:ind w:left="0" w:right="0" w:firstLine="560"/>
        <w:spacing w:before="450" w:after="450" w:line="312" w:lineRule="auto"/>
      </w:pPr>
      <w:r>
        <w:rPr>
          <w:rFonts w:ascii="宋体" w:hAnsi="宋体" w:eastAsia="宋体" w:cs="宋体"/>
          <w:color w:val="000"/>
          <w:sz w:val="28"/>
          <w:szCs w:val="28"/>
        </w:rPr>
        <w:t xml:space="preserve">事实上，《四川省物业管理条例（修订草案）》不仅对选聘物业的方式进行了规定，还为将来业主自由选择物业服务企业提供了新思路。</w:t>
      </w:r>
    </w:p>
    <w:p>
      <w:pPr>
        <w:ind w:left="0" w:right="0" w:firstLine="560"/>
        <w:spacing w:before="450" w:after="450" w:line="312" w:lineRule="auto"/>
      </w:pPr>
      <w:r>
        <w:rPr>
          <w:rFonts w:ascii="宋体" w:hAnsi="宋体" w:eastAsia="宋体" w:cs="宋体"/>
          <w:color w:val="000"/>
          <w:sz w:val="28"/>
          <w:szCs w:val="28"/>
        </w:rPr>
        <w:t xml:space="preserve">深耕物业管理行业多年的成都市人大代表付天力建议，市级管理部门可以建立覆盖城乡、全市统一的物业管理行业信用体系，将物业服务企业、业主、业主委员会的诚信履约纳入系统，强化信用信息的征集、公开、公示和应用。</w:t>
      </w:r>
    </w:p>
    <w:p>
      <w:pPr>
        <w:ind w:left="0" w:right="0" w:firstLine="560"/>
        <w:spacing w:before="450" w:after="450" w:line="312" w:lineRule="auto"/>
      </w:pPr>
      <w:r>
        <w:rPr>
          <w:rFonts w:ascii="宋体" w:hAnsi="宋体" w:eastAsia="宋体" w:cs="宋体"/>
          <w:color w:val="000"/>
          <w:sz w:val="28"/>
          <w:szCs w:val="28"/>
        </w:rPr>
        <w:t xml:space="preserve">“信用机制对于物管企业和业委会的组成人员都有约束作用，很大程度上可以避免物管企业赖着不走，或者业委会权力寻租。”他建议，加强对失信行为的惩戒力度，限制严重失信物业服务企业参与市场招投标和严重失信人员市场准入，对业主可以采用信用约束等。</w:t>
      </w:r>
    </w:p>
    <w:p>
      <w:pPr>
        <w:ind w:left="0" w:right="0" w:firstLine="560"/>
        <w:spacing w:before="450" w:after="450" w:line="312" w:lineRule="auto"/>
      </w:pPr>
      <w:r>
        <w:rPr>
          <w:rFonts w:ascii="宋体" w:hAnsi="宋体" w:eastAsia="宋体" w:cs="宋体"/>
          <w:color w:val="000"/>
          <w:sz w:val="28"/>
          <w:szCs w:val="28"/>
        </w:rPr>
        <w:t xml:space="preserve">《条例》监督管理部分明确，省住房城乡建设主管部门应当建立全省统一的物业管理信用信息监管平台，制定物业服务人信用等级评价体系，建立业主委员会、物业服务人等信用信息档案，并依法向社会公开。</w:t>
      </w:r>
    </w:p>
    <w:p>
      <w:pPr>
        <w:ind w:left="0" w:right="0" w:firstLine="560"/>
        <w:spacing w:before="450" w:after="450" w:line="312" w:lineRule="auto"/>
      </w:pPr>
      <w:r>
        <w:rPr>
          <w:rFonts w:ascii="宋体" w:hAnsi="宋体" w:eastAsia="宋体" w:cs="宋体"/>
          <w:color w:val="000"/>
          <w:sz w:val="28"/>
          <w:szCs w:val="28"/>
        </w:rPr>
        <w:t xml:space="preserve">物业不好好服务业主</w:t>
      </w:r>
    </w:p>
    <w:p>
      <w:pPr>
        <w:ind w:left="0" w:right="0" w:firstLine="560"/>
        <w:spacing w:before="450" w:after="450" w:line="312" w:lineRule="auto"/>
      </w:pPr>
      <w:r>
        <w:rPr>
          <w:rFonts w:ascii="宋体" w:hAnsi="宋体" w:eastAsia="宋体" w:cs="宋体"/>
          <w:color w:val="000"/>
          <w:sz w:val="28"/>
          <w:szCs w:val="28"/>
        </w:rPr>
        <w:t xml:space="preserve">以后就说88</w:t>
      </w:r>
    </w:p>
    <w:p>
      <w:pPr>
        <w:ind w:left="0" w:right="0" w:firstLine="560"/>
        <w:spacing w:before="450" w:after="450" w:line="312" w:lineRule="auto"/>
      </w:pPr>
      <w:r>
        <w:rPr>
          <w:rFonts w:ascii="黑体" w:hAnsi="黑体" w:eastAsia="黑体" w:cs="黑体"/>
          <w:color w:val="000000"/>
          <w:sz w:val="36"/>
          <w:szCs w:val="36"/>
          <w:b w:val="1"/>
          <w:bCs w:val="1"/>
        </w:rPr>
        <w:t xml:space="preserve">龙泉驿区物业服务合同范本2</w:t>
      </w:r>
    </w:p>
    <w:p>
      <w:pPr>
        <w:ind w:left="0" w:right="0" w:firstLine="560"/>
        <w:spacing w:before="450" w:after="450" w:line="312" w:lineRule="auto"/>
      </w:pPr>
      <w:r>
        <w:rPr>
          <w:rFonts w:ascii="宋体" w:hAnsi="宋体" w:eastAsia="宋体" w:cs="宋体"/>
          <w:color w:val="000"/>
          <w:sz w:val="28"/>
          <w:szCs w:val="28"/>
        </w:rPr>
        <w:t xml:space="preserve">7月11日，上海丰旭置业有限公司（旭辉控股间接非全资附属公司）与上海瓴艾公共租赁住房运营有限公司（领寓国际集团有限公司间接全资子公司）签订协议，将以约亿元的价格出售公司上海松江区物业。该物业为上海旭辉纯真中心6号楼，建筑面积合约万平方米。成交价为亿元，上海瓴艾需在7月15日前向上海丰旭支付人民币约亿元，另需在8月31日前向支付余额约亿元，上海丰旭将于8月31日前向上海瓴艾交付公司物业。上海丰旭成立时间为20_年12月25日，注册资本亿，法定代表人丰建国，其大股东为旭辉集团股份有限公司，持股45%，上海丰禄置业发展有限公司持股40%，上海繁欣投资管理有限公司持股15%。旭辉控股间接拥有领寓国际50%的股权，且其公司执行董事兼控股股东林中、^v^、林峰间接持有领寓国际40%股权。之前，旭辉控股一直向上海家迪出租该等物业，上海家迪一直经营该等物业作为租赁公寓，并为租赁公寓的占用人提供营运管理。预期因出售该等物业将录得收益约为人民币1,085万元。出售事项所得款项拟用作本集团一般营运资金。</w:t>
      </w:r>
    </w:p>
    <w:p>
      <w:pPr>
        <w:ind w:left="0" w:right="0" w:firstLine="560"/>
        <w:spacing w:before="450" w:after="450" w:line="312" w:lineRule="auto"/>
      </w:pPr>
      <w:r>
        <w:rPr>
          <w:rFonts w:ascii="宋体" w:hAnsi="宋体" w:eastAsia="宋体" w:cs="宋体"/>
          <w:color w:val="000"/>
          <w:sz w:val="28"/>
          <w:szCs w:val="28"/>
        </w:rPr>
        <w:t xml:space="preserve">更多&gt;商业研究报告，电脑端复制链接获取</w:t>
      </w:r>
    </w:p>
    <w:p>
      <w:pPr>
        <w:ind w:left="0" w:right="0" w:firstLine="560"/>
        <w:spacing w:before="450" w:after="450" w:line="312" w:lineRule="auto"/>
      </w:pPr>
      <w:r>
        <w:rPr>
          <w:rFonts w:ascii="黑体" w:hAnsi="黑体" w:eastAsia="黑体" w:cs="黑体"/>
          <w:color w:val="000000"/>
          <w:sz w:val="36"/>
          <w:szCs w:val="36"/>
          <w:b w:val="1"/>
          <w:bCs w:val="1"/>
        </w:rPr>
        <w:t xml:space="preserve">龙泉驿区物业服务合同范本3</w:t>
      </w:r>
    </w:p>
    <w:p>
      <w:pPr>
        <w:ind w:left="0" w:right="0" w:firstLine="560"/>
        <w:spacing w:before="450" w:after="450" w:line="312" w:lineRule="auto"/>
      </w:pPr>
      <w:r>
        <w:rPr>
          <w:rFonts w:ascii="宋体" w:hAnsi="宋体" w:eastAsia="宋体" w:cs="宋体"/>
          <w:color w:val="000"/>
          <w:sz w:val="28"/>
          <w:szCs w:val="28"/>
        </w:rPr>
        <w:t xml:space="preserve">7月12日，贵州省委常委、贵阳市委书记、贵安新区党工委书记胡忠雄在深圳分别会见华侨城集团有限公司党委副书记、总经理刘凤喜，以及招商局集团总经理、党委副书记胡建华，就开展务实合作、拓宽合作领域等进行深入交流。华侨城将进一步深化与贵阳贵安的合作交流，基于自身积累多年的旅游管理经验，精准对接贵阳贵安文旅产业发展需求，深化项目研究，通过市场化运作手段、企业化运营方式，科学、有序、可持续地开展合作，为地方文旅产业发展提供支撑。目前，招商局与贵州省在城市与园区综合开发、综合金融、贸易与物流、交通基础设施、生态、产业投资等领域均有广泛合作，并期待在新的发展阶段，与贵州省、贵阳市共同抢抓历史机遇，创造更大成绩。</w:t>
      </w:r>
    </w:p>
    <w:p>
      <w:pPr>
        <w:ind w:left="0" w:right="0" w:firstLine="560"/>
        <w:spacing w:before="450" w:after="450" w:line="312" w:lineRule="auto"/>
      </w:pPr>
      <w:r>
        <w:rPr>
          <w:rFonts w:ascii="宋体" w:hAnsi="宋体" w:eastAsia="宋体" w:cs="宋体"/>
          <w:color w:val="000"/>
          <w:sz w:val="28"/>
          <w:szCs w:val="28"/>
        </w:rPr>
        <w:t xml:space="preserve">&gt;银^v^回应停贷事件，积极推进“保交楼、保民生、保稳定”工作</w:t>
      </w:r>
    </w:p>
    <w:p>
      <w:pPr>
        <w:ind w:left="0" w:right="0" w:firstLine="560"/>
        <w:spacing w:before="450" w:after="450" w:line="312" w:lineRule="auto"/>
      </w:pPr>
      <w:r>
        <w:rPr>
          <w:rFonts w:ascii="宋体" w:hAnsi="宋体" w:eastAsia="宋体" w:cs="宋体"/>
          <w:color w:val="000"/>
          <w:sz w:val="28"/>
          <w:szCs w:val="28"/>
        </w:rPr>
        <w:t xml:space="preserve">&gt;石家庄、大连、荆州等城市优化限贷、公积金等政策</w:t>
      </w:r>
    </w:p>
    <w:p>
      <w:pPr>
        <w:ind w:left="0" w:right="0" w:firstLine="560"/>
        <w:spacing w:before="450" w:after="450" w:line="312" w:lineRule="auto"/>
      </w:pPr>
      <w:r>
        <w:rPr>
          <w:rFonts w:ascii="宋体" w:hAnsi="宋体" w:eastAsia="宋体" w:cs="宋体"/>
          <w:color w:val="000"/>
          <w:sz w:val="28"/>
          <w:szCs w:val="28"/>
        </w:rPr>
        <w:t xml:space="preserve">&gt;银^v^：引导金融机构市场化参与风险处置，加强与住建部门、中国人民银行工作协同，支持地方政府积极推进“保交楼、保民生、保稳定”工作。&gt;^v^：1—6月份，商品房销售面积68923万平方米，同比下降。&gt;滁州、江山、祁州等7市县：发放购房、契税补贴。&gt;沧州、三门峡、楚雄等5市县：调整资金监管。&gt;石家庄、大连、荆州等11地区：通过下调首付比例、商业贷款利率，提高公积金贷款额度等方面，满足购房者合理住房需求。</w:t>
      </w:r>
    </w:p>
    <w:p>
      <w:pPr>
        <w:ind w:left="0" w:right="0" w:firstLine="560"/>
        <w:spacing w:before="450" w:after="450" w:line="312" w:lineRule="auto"/>
      </w:pPr>
      <w:r>
        <w:rPr>
          <w:rFonts w:ascii="黑体" w:hAnsi="黑体" w:eastAsia="黑体" w:cs="黑体"/>
          <w:color w:val="000000"/>
          <w:sz w:val="36"/>
          <w:szCs w:val="36"/>
          <w:b w:val="1"/>
          <w:bCs w:val="1"/>
        </w:rPr>
        <w:t xml:space="preserve">龙泉驿区物业服务合同范本4</w:t>
      </w:r>
    </w:p>
    <w:p>
      <w:pPr>
        <w:ind w:left="0" w:right="0" w:firstLine="560"/>
        <w:spacing w:before="450" w:after="450" w:line="312" w:lineRule="auto"/>
      </w:pPr>
      <w:r>
        <w:rPr>
          <w:rFonts w:ascii="宋体" w:hAnsi="宋体" w:eastAsia="宋体" w:cs="宋体"/>
          <w:color w:val="000"/>
          <w:sz w:val="28"/>
          <w:szCs w:val="28"/>
        </w:rPr>
        <w:t xml:space="preserve">日前，上海天空万科广场完成竣工备案，进入内部装修阶段，预计将于9月正式营业。上海天空之城位于青浦区，总建筑面积约80万平方米，包括天空万科广场、天空万科中心以及住宅小区、河滨公园等。其中，商业体量约10万平方米的复合型购物中心-上海天空万科广场是其核心。据悉，目前已完成约90％的品牌招商工作，部分品牌也已进入合同签署阶段，其中有LOS PACOS等全国首店品牌最新形象店和一大波区域首店，一些知名娱乐休闲、零售、餐饮品牌已进场启动装修。此外，上海天空万科广场为上海万科联合申通资产开发的首个TOD模式多元业态综合体项目，其融合了10万平方米集合商业、10万平方米办公、35万平方米住宅和青年公寓、公共绿地、教育等多元复合业态，整体面积高达80万平方米。</w:t>
      </w:r>
    </w:p>
    <w:p>
      <w:pPr>
        <w:ind w:left="0" w:right="0" w:firstLine="560"/>
        <w:spacing w:before="450" w:after="450" w:line="312" w:lineRule="auto"/>
      </w:pPr>
      <w:r>
        <w:rPr>
          <w:rFonts w:ascii="黑体" w:hAnsi="黑体" w:eastAsia="黑体" w:cs="黑体"/>
          <w:color w:val="000000"/>
          <w:sz w:val="36"/>
          <w:szCs w:val="36"/>
          <w:b w:val="1"/>
          <w:bCs w:val="1"/>
        </w:rPr>
        <w:t xml:space="preserve">龙泉驿区物业服务合同范本5</w:t>
      </w:r>
    </w:p>
    <w:p>
      <w:pPr>
        <w:ind w:left="0" w:right="0" w:firstLine="560"/>
        <w:spacing w:before="450" w:after="450" w:line="312" w:lineRule="auto"/>
      </w:pPr>
      <w:r>
        <w:rPr>
          <w:rFonts w:ascii="宋体" w:hAnsi="宋体" w:eastAsia="宋体" w:cs="宋体"/>
          <w:color w:val="000"/>
          <w:sz w:val="28"/>
          <w:szCs w:val="28"/>
        </w:rPr>
        <w:t xml:space="preserve">房企融资类型以公司债为主，部分企业通过中期票据、超短期融资券、ABS债券等方式获取资金。其中， 7月12日，深交所披露了万科企业股份有限公司20_年面向专业投资者公开发行公司债券（第三期）（品种一）以及（品种二）的上市公告，两个品种债券拟定于7月14日在深交所上市。品种一简称“22万科05”，发行总额为29亿元，期限为5年期，票面利率为。品种二简称为“22万科06”，发行总额为5亿元，期限为7年期，票面利率为。7月14日，中国铁建股份有限公司发布了20_年面向专业投资者公开发行可续期公司债券（第二期）（可持续挂钩）的公告。本次债券注册金额不超过200亿元，本期拟发行金额不超过30亿元（含30亿元），分为2个品种，品种一品种一以每3个计息年度为一个周期且首个周期的票面利率为，品种二以每5个计息年度为一个周期首个周期的票面利率为。</w:t>
      </w:r>
    </w:p>
    <w:p>
      <w:pPr>
        <w:ind w:left="0" w:right="0" w:firstLine="560"/>
        <w:spacing w:before="450" w:after="450" w:line="312" w:lineRule="auto"/>
      </w:pPr>
      <w:r>
        <w:rPr>
          <w:rFonts w:ascii="宋体" w:hAnsi="宋体" w:eastAsia="宋体" w:cs="宋体"/>
          <w:color w:val="000"/>
          <w:sz w:val="28"/>
          <w:szCs w:val="28"/>
        </w:rPr>
        <w:t xml:space="preserve">上周，房企拿地城市集中在南京、长沙、成都、广州等省市。其中，成都、南京、长沙进行20_年第二批集中供地，多家企业及企业联合体拿地。7月13日，成都20_年第二批集中土地拍卖持续，二批次总供应55宗涉宅用地（含41宗纯住宅用地），合计出让面积3040亩。最终成交 53 宗，总成交面积 2915亩，合计成交金额约 亿元，2宗地流拍。本次土拍中华润置地共拿地6宗（包括成华区二仙桥公园北侧1号地块、成华区圣灯街道关家堰村6、7组；青羊区黄田坝街道黄土社区7、8组；锦江区成龙街道棬子树村1、2、3组；四川天府新区正兴街道回龙村一组；武侯区簇锦街道铁佛社区2组；龙泉驿区十陵街道成洛大道以北,外东洪路中段以西），共计约394亩，总耗资约亿元。7月14日，长沙第二轮集中供地共挂牌19宗地块。总起始价约亿元；共成交16宗地块，总成交价约亿元。其中，位于岳麓区的[20_]长沙市049号地块，被肇庆招商蛇口房地产有限公司以亿元摘得，折合楼面价6631元/平，住宅毛坯限价根据开发品质等因素进行价格监制。049号地块规划为商住用地，总出让面积平方米，容积率R2≤ 、B1B2≤ 、R2B1B2≤。该地块位于岳麓区观沙岭城市更新片区，周边各项配套较为成熟，社区密集，且邻近长郡双语实验中学，教育资源优越。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2025-05-08T10:08:45+08:00</dcterms:created>
  <dcterms:modified xsi:type="dcterms:W3CDTF">2025-05-08T10:08:45+08:00</dcterms:modified>
</cp:coreProperties>
</file>

<file path=docProps/custom.xml><?xml version="1.0" encoding="utf-8"?>
<Properties xmlns="http://schemas.openxmlformats.org/officeDocument/2006/custom-properties" xmlns:vt="http://schemas.openxmlformats.org/officeDocument/2006/docPropsVTypes"/>
</file>