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教育合作合同范本202_</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&gt;经甲、乙双方共同协商，本着互惠互利、共同发展，使中国秘书尽早走向职业化，达成如下合作协议，万书范文网为大家提供《教育合作合同范本202_》，欢迎阅读。&gt;【篇一】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&gt;经甲、乙双方共同协商，本着互惠互利、共同发展，使中国秘书尽早走向职业化，达成如下合作协议，万书范文网为大家提供《教育合作合同范本202_》，欢迎阅读。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