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二手房买卖合同纠纷案例(24篇)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二手房买卖合同纠纷案例一买方：_______________(简称乙方) 身份证号码：_____________________根据《中华人民共和国民法典》、《中华人民共和国城市房地产管理法》及其他有关法律、法规之规定...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__________天内腾空该房屋，并在三天内一次性结清本套房屋，物业管理、水、电、有线电视、通讯等费用，并保证上述房屋不存在任何费用及滞纳金与违约金的前提下，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二手房买卖合同纠纷案例三</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第___________号《房屋所有权证》，___________房共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二手房买卖合同纠纷案例六</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