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一次性买卖房产合同(五篇)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次性买卖房产合同一丙方根据甲方与乙方在____年__月__日签订的金额为_______的购销合同向甲方提供担保,担保合同从属于购销合同。一、担保责任：1、丙方是在___________注册登记的经济实体,任何改变丙方本身性质、地位的事件、...</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一次性买卖房产合同一</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一次性买卖房产合同二</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第一期贷款期限为：______________个月，即自__年__月_日起，至__年__月_日止。</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一次性买卖房产合同四</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1、房屋状况：房产座落在潞华办事处西街社区，南于赵全红家相邻，全部使用面积为184.3㎡，建筑结构为独院一层普通民房，具体情况见潞国土资集用(20xx)字第22101220xx0号《集体土地使用证》上的说明。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二、甲乙双方商定成交价格为人民币壹拾捌万伍仟元整(18.5万元)。</w:t>
      </w:r>
    </w:p>
    <w:p>
      <w:pPr>
        <w:ind w:left="0" w:right="0" w:firstLine="560"/>
        <w:spacing w:before="450" w:after="450" w:line="312" w:lineRule="auto"/>
      </w:pPr>
      <w:r>
        <w:rPr>
          <w:rFonts w:ascii="宋体" w:hAnsi="宋体" w:eastAsia="宋体" w:cs="宋体"/>
          <w:color w:val="000"/>
          <w:sz w:val="28"/>
          <w:szCs w:val="28"/>
        </w:rPr>
        <w:t xml:space="preserve">1、乙方已在20xx年3月7日上午一次性付给了甲方所有房款，并由甲方写出了收据，有中间人王积善见证。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2、甲方收到乙方所有房款后也于20xx年3月7日上午将《集体土地使用证》和《潞城县房屋契证》交给了乙方。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 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一次性买卖房产合同五</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