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如何写农村土地土地租赁合同汇总(九篇)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农村土地土地租赁合同汇总一承包方：（以下简称乙方）为了继续深入农村改革，进一步推进产业结构调整，确保农业增效、农民增收。经过村民（组）代表大会讨论通过，将______________发包给乙方承包。现经甲、乙双方充分协商同意，达成如下...</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如何写农村土地土地租赁合同汇总三</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乙方承包期限为____年(注：四荒地承包期不得超过______年，机动地承包期不得超过______年)，自________年____月____日起至________年____月____日止。甲方应于________年____月____日前将土地交付乙方。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各年度承包金按下列第____种方式计算，乙方应于当年____月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⑵采取浮动方式。第一年每亩地承包金____元，总承包金____元。以后年度以第一年承包金为基数，每年上浮递增____%。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3.乙方不按约定缴纳土地承包金，按月承担应缴资金____的滞纳金;逾期____个月不缴纳的，甲方可解除合同收回承包地。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如何写农村土地土地租赁合同汇总七</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如何写农村土地土地租赁合同汇总八</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如何写农村土地土地租赁合同汇总九</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