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场地租赁合同模版(十九篇)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一乙方(承租方)：甲方经批准，根据《中华人民共和国民法典》、《中华人民共和国土地管理法》、《土地储备管理办法》、《南沙开发区储备土地管理指导意见》等的规定，将位于________地铁站旁地段的 宗国有储备建设用地出租给乙方作...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