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海上运输合同管辖权优秀(十九篇)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海上运输合同管辖 海上运输合同管辖权一地址：_____________________________邮码_______________________________电话_______________________________法定代...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海上运输合同管辖权三</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小时内将货卸完。否则甲方按超过时间向乙方交付滞延金每吨0.075元，在装卸货过程中，因天气影响时间装货作业的时间，经甲方与乙方船舶签证，可按实际影响时间扣除。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交通厅海上运输管理的有关规定充分协商，做出补充规定。补充规定与本合同具有同等效力。本合同提交 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海上运输合同管辖权八</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海上运输合同管辖 海上运输合同管辖权篇十一</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海上运输合同管辖权篇十三</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账户：________ 账户：________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船舶自装货完毕办好手续时起于内将货物运到目的港。否则按货规</w:t>
      </w:r>
    </w:p>
    <w:p>
      <w:pPr>
        <w:ind w:left="0" w:right="0" w:firstLine="560"/>
        <w:spacing w:before="450" w:after="450" w:line="312" w:lineRule="auto"/>
      </w:pPr>
      <w:r>
        <w:rPr>
          <w:rFonts w:ascii="宋体" w:hAnsi="宋体" w:eastAsia="宋体" w:cs="宋体"/>
          <w:color w:val="000"/>
          <w:sz w:val="28"/>
          <w:szCs w:val="28"/>
        </w:rPr>
        <w:t xml:space="preserve">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海上运输合同管辖权篇十七</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