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直播经营合同范本(实用11篇)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直播经营合同范本1甲方：______________(以下简称甲方)乙方：______________(以下简称乙方)&gt;一、合作平台1店铺申请(店铺资料准备、申请注册)2.内容消费者定位(产品定位、受众定位、运营目标确定)3.店铺视觉设计(...</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甲乙双方经过友好、平等的协商，根据《xxx合同法》的规定，达成如下协议，并由双方共同恪守的条款如下：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 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直播经营合同范本7</w:t>
      </w:r>
    </w:p>
    <w:p>
      <w:pPr>
        <w:ind w:left="0" w:right="0" w:firstLine="560"/>
        <w:spacing w:before="450" w:after="450" w:line="312" w:lineRule="auto"/>
      </w:pPr>
      <w:r>
        <w:rPr>
          <w:rFonts w:ascii="宋体" w:hAnsi="宋体" w:eastAsia="宋体" w:cs="宋体"/>
          <w:color w:val="000"/>
          <w:sz w:val="28"/>
          <w:szCs w:val="28"/>
        </w:rPr>
        <w:t xml:space="preserve">事例简介</w:t>
      </w:r>
    </w:p>
    <w:p>
      <w:pPr>
        <w:ind w:left="0" w:right="0" w:firstLine="560"/>
        <w:spacing w:before="450" w:after="450" w:line="312" w:lineRule="auto"/>
      </w:pPr>
      <w:r>
        <w:rPr>
          <w:rFonts w:ascii="宋体" w:hAnsi="宋体" w:eastAsia="宋体" w:cs="宋体"/>
          <w:color w:val="000"/>
          <w:sz w:val="28"/>
          <w:szCs w:val="28"/>
        </w:rPr>
        <w:t xml:space="preserve">20_年11月27日，浙江省高级人民法院对上诉人杭州开迅科技有限公司（一审原告，以下简称“开迅公司”）与被上诉人李勇（一审被告）、广州虎牙信息科技有限公司（一审被告，以下简称“虎牙公司”）不正当竞争纠纷一案作出二审判决，判定被上诉人李勇（艺名“圣光”）与虎牙公司的行为均不构成不正当竞争，驳回上诉，维持原判。</w:t>
      </w:r>
    </w:p>
    <w:p>
      <w:pPr>
        <w:ind w:left="0" w:right="0" w:firstLine="560"/>
        <w:spacing w:before="450" w:after="450" w:line="312" w:lineRule="auto"/>
      </w:pPr>
      <w:r>
        <w:rPr>
          <w:rFonts w:ascii="宋体" w:hAnsi="宋体" w:eastAsia="宋体" w:cs="宋体"/>
          <w:color w:val="000"/>
          <w:sz w:val="28"/>
          <w:szCs w:val="28"/>
        </w:rPr>
        <w:t xml:space="preserve">原告认为，合同期间，李勇使用昵称“触手圣光转虎牙”在虎牙平台进行直播首秀，且与虎牙公司签订相关协议的行为，是虎牙公司允许、放任、有意使用开迅公司培育的主播，并利用主播与用户的粘性，采取昵称、头像等影响力因素，与主播李勇共同实施的窃取开迅公司用户及流量的行为，构成不正当竞争。被告李勇辩称主播跳槽属于其基本人权，昵称、头像属于人身权的范围，与著作权无关。且其作为主播，与原告运营的“触手平台”已不存在竞争关系，原告诉求缺乏事实和法律依据。被告虎牙公司辩称争夺人才是行业竞争的正常手段，虎牙公司接纳李勇作为平台主播是正常的市场行为，并且开迅公司可以通过合同获得救济。</w:t>
      </w:r>
    </w:p>
    <w:p>
      <w:pPr>
        <w:ind w:left="0" w:right="0" w:firstLine="560"/>
        <w:spacing w:before="450" w:after="450" w:line="312" w:lineRule="auto"/>
      </w:pPr>
      <w:r>
        <w:rPr>
          <w:rFonts w:ascii="宋体" w:hAnsi="宋体" w:eastAsia="宋体" w:cs="宋体"/>
          <w:color w:val="000"/>
          <w:sz w:val="28"/>
          <w:szCs w:val="28"/>
        </w:rPr>
        <w:t xml:space="preserve">一审法院杭州市中级人民法院认为，在违约情况发生时，一般应直接适用合同约定与合同法相关法律规定，除非损害公共政策保护的其他利益，故开迅公司与李勇之间不应通过反不正当竞争法调整。此外，虎牙公司不存在恶意诱导等行为，不存在不正当竞争的目的。因此，判定李勇与虎牙公司均不构成不正当竞争。原告不服一审判决，提起上诉。</w:t>
      </w:r>
    </w:p>
    <w:p>
      <w:pPr>
        <w:ind w:left="0" w:right="0" w:firstLine="560"/>
        <w:spacing w:before="450" w:after="450" w:line="312" w:lineRule="auto"/>
      </w:pPr>
      <w:r>
        <w:rPr>
          <w:rFonts w:ascii="宋体" w:hAnsi="宋体" w:eastAsia="宋体" w:cs="宋体"/>
          <w:color w:val="000"/>
          <w:sz w:val="28"/>
          <w:szCs w:val="28"/>
        </w:rPr>
        <w:t xml:space="preserve">二审法院认为，在当事人能够通过合同方式得到有效救济的情况下，反不正当竞争法的适用更应秉持审慎、谦抑的原则，而不应随意干预当事人的行为自由。虎牙公司与李勇的行为不存在反不正当竞争法意义上的不正当性；昵称、头像具有人身权和财产权的双重属性，与主播的人身利益紧密关联。李勇离开开迅公司旗下的触手平台后仍继续使用原昵称和头像，在人身指向上并无偏差，不存在导致相关公众混淆误认的情况。同时，法院认为，游戏直播行业并非事关国计民生，可被允于自由的市场环境，司法应充分尊重行业发展规律。综上，二审法院判定驳回上诉，维持一审判决。</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作为首例主播跳槽行为中主播与平台方均被认定为不构成不正当竞争的案件，本案明确直播行业市场以“自由竞争”为原则，以“反不正当竞争的规制”为例外的司法意见。同时，判决考虑到各方利益的平衡以及救济手段，分析了个人道德与商业伦理的区别，强调了反不正当竞争法适用应该秉持的“审慎、谦抑”原则，重申了自由市场充分竞争的价值，具有典型意义。</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具备媒体营销能力以及丰富的推广艺人直播、组织宣传等活动资源和能力，乙方具有电商直播方面的特长，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直播经营合同范本9</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甲乙双方经友好协商，就淘宝直播代运营业务达成合作，并根据《xxx合同法》协议如下合作条款：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2025-05-01T20:07:46+08:00</dcterms:created>
  <dcterms:modified xsi:type="dcterms:W3CDTF">2025-05-01T20:07:46+08:00</dcterms:modified>
</cp:coreProperties>
</file>

<file path=docProps/custom.xml><?xml version="1.0" encoding="utf-8"?>
<Properties xmlns="http://schemas.openxmlformats.org/officeDocument/2006/custom-properties" xmlns:vt="http://schemas.openxmlformats.org/officeDocument/2006/docPropsVTypes"/>
</file>