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策划招标合同范本(推荐5篇)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策划招标合同范本1项目名称：委托单位：(公章)(甲方)代理单位：(公章)(乙方)合同签订日期：年 月日本合同双方：委托单位(甲方)：代理单位(乙方)：海口建诚工程招标代理有限公司委托方将__________ 项目的招标事宜委托乙方代理，依据...</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依据《_招标投标法》、《_合同法》及国家的有关法律、行政法规、遵循平等、自愿、公平和诚实信用的原则，双方就本建设工程招标代理事项协商一致，特订立本合同。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