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最新国际设备技术引进合同 设备进口合同(20篇)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 设备进口合同一____签约地点：____________合同编号：____________一方为中国______公司，主要办公地址在中国_____(以下简称被转让方)，另一方为_____公司，主要办公地址在____(以...</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