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2024年租房违约合同(五篇)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违约合同赔偿标准租房违约合同履行后可获得的利益一乙方：________________________一、承包开采沙石行政区域范围㈠、甲方经所在行政区域的大梅屯河段的村委、村民小组及村民会议讨论一致通过，同意将甲方所在行政区域的大梅屯河...</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㈠、甲方经所在行政区域的大梅屯河段的村委、村民小组及村民会议讨论一致通过，同意将甲方所在行政区域的大梅屯河段沿河滩地通过招商引资由乙方开采沙石。地点由________村沿河下游往东方（地名、滩名）滩尾至上游往东西（地名、滩名）约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㈡、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乙方须向甲方支付一年租金人民币共计元整作为开采沙石承包费后，方可开采。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㈠、乙方开采沙石所须的其它有关手续、证明、机械设备安装及费用均由乙方自理，自主经营，自负盈亏，乙方承包期间的经营方式和时间甲方不得干涉阻碍。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㈡、甲方负责乙方的生产环境保卫工作，制止一切人为扰乱和破坏生产设备，调解各种矛盾纠纷，确保乙方正常生产和生活。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壹万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持________份，公证处________份，经双方签字盖章后生效。以上未尽事宜，甲乙双方协商解决。双方应相互配合，平等相待，和平共处，确保安全生产、安定团结的共赢而积极努力。</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5.________________;6.________________。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租房违约合同赔偿标准租房违约合同履行后可获得的利益四</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;位于第1层，共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第二条:甲方已明确告知该房屋的地面承重限额为每平方米200公斤，双方约定该出租房屋用途为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w:t>
      </w:r>
    </w:p>
    <w:p>
      <w:pPr>
        <w:ind w:left="0" w:right="0" w:firstLine="560"/>
        <w:spacing w:before="450" w:after="450" w:line="312" w:lineRule="auto"/>
      </w:pPr>
      <w:r>
        <w:rPr>
          <w:rFonts w:ascii="宋体" w:hAnsi="宋体" w:eastAsia="宋体" w:cs="宋体"/>
          <w:color w:val="000"/>
          <w:sz w:val="28"/>
          <w:szCs w:val="28"/>
        </w:rPr>
        <w:t xml:space="preserve">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第十一条:乙方有下列情形之一的，甲方可解除合同并收回房屋，造成甲方损失，由乙方负责赔偿：擅自将承租的房屋转让、转借他人或擅自调换使用; 擅自拆改承租房屋结构或改变承租房屋用途; 欠租金或水、电费累计达半个月;无正当理由闲置达2个月; 利用承租房屋进行违法活动;未办理工商登记进行非法经营活动; 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黑体" w:hAnsi="黑体" w:eastAsia="黑体" w:cs="黑体"/>
          <w:color w:val="000000"/>
          <w:sz w:val="36"/>
          <w:szCs w:val="36"/>
          <w:b w:val="1"/>
          <w:bCs w:val="1"/>
        </w:rPr>
        <w:t xml:space="preserve">租房违约合同赔偿标准租房违约合同履行后可获得的利益五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