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门窗购销合同模板范文大全共11篇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门窗购销合同模板范文大全 第一篇甲方(收货方)： 榆林胜利建司乙方(供货方)： 甲方地址： 陕西横山县魏墙煤矿 乙方地址：电 话：电 话：甲、乙双方为明确各自的权利和义务，在平等协商的基础上，基于各自的真实意思表示，达成本合同以便共同遵守。...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第一篇</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第二篇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第五篇</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第七篇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第九篇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