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最新轮胎购销合同印花税 轮胎购销合同内容(十八篇)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轮胎购销合同印花税 轮胎购销合同内容一销方： (以下简称已方)本着公平、诚实、互惠互利的原则，按照《中华人民共和国招标投标法》，甲方确认乙方为甲方车辆所需轮胎定点采购供应商，现经双方商定，一致达成如下协议：第一条 产品名称、品牌、规格、价格...</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轮胎购销合同印花税 轮胎购销合同内容篇十一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轮胎购销合同内容篇十五</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轮胎购销合同内容篇十七</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轮胎购销合同内容篇十八</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