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 养殖购销合同(3篇)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 养殖购销合同一电话：买方：电话：买卖双方本着公平、自愿、互惠互利的原则，根据《民法典》，经协商一致签订本合同。此合同经买卖双方共同制订，买方愿意购入、卖方愿意售出下述货物，谨此签约。1、合作的产品、数量及定单定牌产品品名...</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养殖购销合同二</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养殖购销合同三</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