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最新汽车销售店购车合同 车行购销合同模板(3篇)</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汽车销售店购车合同 车行购销合同一地址：_________电话：_________传真：_________邮编：_________帐号：_________乙方：_________地址：_________电话：_________传真：____...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汽车销售店购车合同 车行购销合同一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您正浏览的文章由(第一范 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汽车销售店购车合同 车行购销合同二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一汽解放青岛有限公司</w:t>
      </w:r>
    </w:p>
    <w:p>
      <w:pPr>
        <w:ind w:left="0" w:right="0" w:firstLine="560"/>
        <w:spacing w:before="450" w:after="450" w:line="312" w:lineRule="auto"/>
      </w:pPr>
      <w:r>
        <w:rPr>
          <w:rFonts w:ascii="宋体" w:hAnsi="宋体" w:eastAsia="宋体" w:cs="宋体"/>
          <w:color w:val="000"/>
          <w:sz w:val="28"/>
          <w:szCs w:val="28"/>
        </w:rPr>
        <w:t xml:space="preserve">合计金额：大写： 壹佰伍拾肆万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20__ 年 4 月 10日前，支付全部车款，计人民币 154万 元，大写： 壹佰伍拾肆万 。结算方式：银行承兑汇票。</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江苏徐州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 年 月 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2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汽车销售店购车合同 车行购销合同三</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