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装修合同范本明细(汇总31篇)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明细1发包方(以下简称甲方)：____________承包方(以下简称乙方)：____________根据《_合同法》及其它有关法律、法规，结合本市住宅装饰装修的特点，甲、乙双方在平等、自愿的基础上协商一致，就乙方承包甲方的住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装修合同范本明细2</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广州嘉华医院(暂定)室内装修工程</w:t>
      </w:r>
    </w:p>
    <w:p>
      <w:pPr>
        <w:ind w:left="0" w:right="0" w:firstLine="560"/>
        <w:spacing w:before="450" w:after="450" w:line="312" w:lineRule="auto"/>
      </w:pPr>
      <w:r>
        <w:rPr>
          <w:rFonts w:ascii="宋体" w:hAnsi="宋体" w:eastAsia="宋体" w:cs="宋体"/>
          <w:color w:val="000"/>
          <w:sz w:val="28"/>
          <w:szCs w:val="28"/>
        </w:rPr>
        <w:t xml:space="preserve">工程地点：广州市天河区车陂路6号工程内容：详见招标图纸及工程量清单。工程立项批准文号：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承包范围：按甲方确认的施工图纸、图纸会审纪录和有关变更文件、资料、招标文件、乙方投标文件以及双方签订的有关协议所包含的内容。甲方有权根据工程实施情况对承包范围进行适当调整。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 年 月 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根据《_劳动法》、《_劳动合同法》、《_劳动争议调解仲裁法》、《上海市劳动合同条例》，甲乙双方本着自愿、平等的原则，经协商一致，同意签订本合同，以便共同遵守。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6.工期：自20__年7月18日开工至20__年9月5日竣工，工期约47天。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装修合同范本明细10</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_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装修合同范本明细13</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装修合同范本明细17</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装修合同范本明细18</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