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套装修合同范本(8篇)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套装修合同范本1发包方： (以下简称甲方)承包方： (以下简称乙方)按照《_合同法》等相关法律法规的规定，结合本工程具体情况，双方达成如下协议。&gt;第一条 工程概况工程名称：工程地点：承包范围：承包方式：工期：本工程自_________ 年 ...</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套装修合同范本5</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&gt;第二条关于工程质量及验收的约定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&gt;第三条有关安全生产和防火等的现场管理约定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&gt;第四条关于工程价款、承包内容、施工工艺、结算的约定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&gt;第五条施工工艺要求、验收要求</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2、水电开槽注意事项：禁止在墙面横向开槽；禁止在楼板结构找平层开管槽，局部除外；砼的梁、板、剪力墙、地梁开槽深度不允许碰到钢筋；中央空调取孔，不允许在梁上取孔、严禁切断主筋开孔；</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4、电线线径等径统一，分色统一：红色、黄色为火线色标，蓝色、绿色为零线色标，黄绿彩线为地线色标；</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9、给水施工要求：给水管主水管≥25㎜，支管≥20㎜，左边热水，右边冷水，阀门用球阀，并符合设计图纸要求；</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13、未列明条款请参照_《住宅装饰装修工程施工规范》(GB50327-20_)的规定。</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4.本合同签订后工程不得转包，乙方应亲自到场施工。</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套装修合同范本8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