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 承包小区装修业务合同(7篇)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小区建设工程装修合同协议书小区装修合同一本着互相信任的原则，就甲方的家庭装修水电施工工程达成以下协议。1.装修施工地点：_____________________________________________________。3.本项工程...</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 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