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最新瓷砖销售合同条款(15篇)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瓷砖销售合同条款一供方(乙方)： 签订时间：甲方因工程的建设需要，向乙方订购墙地瓷砖产品，根据《中华人民共和国合同法》及相关法律法规的规定，为规范双方的权利与义务，甲、乙方充分友好协商，达成如下条款：工程名称： 工程地点：注：1、以上为暂定...</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瓷砖销售合同条款篇十一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瓷砖销售合同条款篇十二</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