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房产销售合同协议书 房屋销售合作协议模板(3篇)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房产销售合同协议书房屋销售合作协议一购买方(称乙方)：_________第一条 本合同依据中华人民共和国法律和《_________商品房产管理规定》制定。第二条 甲方经_________市人民政府文件批准，取得位于_________市___...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房产销售合同协议书房屋销售合作协议一</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房产销售合同协议书房屋销售合作协议二</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房产销售合同协议书房屋销售合作协议三</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