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2025年保健电子产品地区销售总代理合同怎么签大全(三篇)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保健电子产品地区销售总代理合同怎么签一法定代表人：_____________________住所：____________________________邮编：____________________________联系电话：_______...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1、甲方每月________日前以货币形式支付乙方上________个月的劳务报酬。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2、甲方每月向乙方支付的劳务报酬包括保底酬金________元以及奖金。奖金的计算方式为：___________________。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3、乙方需要提前解除本合同，应提前________日通知甲方，或补偿甲方元代替通知。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1、甲方不按照本合同约定日期向乙方支付劳务报酬的，每拖欠________日按照所拖欠金额的________向乙方支付违约金。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第一条甲方授予乙方为“___”___地区销售总代理商，该总代理权具有唯一性和不可转让性。甲方对“___”产品的质量负责。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第二条乙方应积极做好“___”的品牌推广、销售宣传等工作，同时做好销售网络的维护工作。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第四条甲方与乙方签订合同之日起，即乙方成为签约地区“___”唯一代理商，甲方不得在该区域内发展除乙方外第二家代理商。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第六条甲乙双方本着利益原则，乙方在所经营区域内发现非甲方供货的“___”产品，乙方须通知甲方，甲方应当协助乙方妥善解决相关问题。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第八条乙方必须按照甲方统一的营销标准和政策经营，乙方为甲方提供必要的市场反馈信息和数据，维护“___”产品在市场的统一形象、统一的业务管理，乙方要积极配合并协调甲方整体的营销战略。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第九条“___”产品供货价格为每台元人民币，甲方收到乙方汇款或者现金，三天内发货给乙方，甲方发货到乙方所指定收货地点。一切运费邮费由甲方负责。对于不可抗拒因素造成货物延误，甲方不负任何责任。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第十一条对有质量问题的产品，一年包换新品，对于问题产品，乙方集中_台以上发到甲方公司更换。甲方严格按照保修卡内容履行。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保健电子产品地区销售总代理合同怎么签三</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w:t>
      </w:r>
    </w:p>
    <w:p>
      <w:pPr>
        <w:ind w:left="0" w:right="0" w:firstLine="560"/>
        <w:spacing w:before="450" w:after="450" w:line="312" w:lineRule="auto"/>
      </w:pPr>
      <w:r>
        <w:rPr>
          <w:rFonts w:ascii="宋体" w:hAnsi="宋体" w:eastAsia="宋体" w:cs="宋体"/>
          <w:color w:val="000"/>
          <w:sz w:val="28"/>
          <w:szCs w:val="28"/>
        </w:rPr>
        <w:t xml:space="preserve">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