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 商品房购房合同备案查询(十四篇)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 商品房购房合同备案查询一第一条商品房情况该商品房销售许可证号：商品房座落：区、县、路、道、街设计用途建筑结构建筑层数为层。建筑面积平方米，其中：套内建筑面积平方米，公共部位分摊建筑面积平方米。商品房平面图见附件一，商品房抵押...</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商品房购房合同备案查询一</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商品房购房合同备案查询五</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商品房购房合同备案查询六</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20xx年商品房购房合同协议书5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商品房购房合同备案查询七</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甲方（债务人、回购人）：_______________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1、在_________年______月___日之前支付乙方全部房款及利息合计______元（计算方法为：购房款+购房款支付之日起按至甲方支付款项之日______%的利率）；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1、甲方应当在行使期限届满前______日内通知乙方，并在______日内支付回购款。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______个工作日内为乙方或乙方指定的名下办理房产证。如因甲方原因不能提供相关手续为乙方或乙方指定的名下办理房产权证，甲方则应当赔偿乙方相对于购房款的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第八条关于本协议的通知可按照合同载明的地址送达，一方变更地址的应当通知对方，否则按照原地址寄出后______日内视为送达。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商品房购房合同备案查询九</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商品房购房合同备案查询篇十</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出卖人：________买受人：________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 商品房购房合同备案查询篇十一</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商品房购房合同备案查询篇十二</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