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采购橱窗合同范本(优选7篇)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采购橱窗合同范本11、合同生效日期以供需双方签字盖章日期为准。2、88系列推拉窗单价为 元/m2，面积为元/m2，面积为 m2。 m2。 3、100系列地弹门单价为4、合同总造价＝∑合同单价×塑钢窗及地弹门洞口面积=大写：塑钢门窗合同总额以...</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采购橱窗合同范本1</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采购橱窗合同范本2</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采购橱窗合同范本3</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2、乙方保质、保量、保进度的完成任务，进场安装工期为_____年_____月_____日至__年__月__日。(甲方通知)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合计总价（大写）：_________________伍佰壹拾肆万玖仟贰佰柒拾陆元陆角玖分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1、塑钢窗每平方单价为元。</w:t>
      </w:r>
    </w:p>
    <w:p>
      <w:pPr>
        <w:ind w:left="0" w:right="0" w:firstLine="560"/>
        <w:spacing w:before="450" w:after="450" w:line="312" w:lineRule="auto"/>
      </w:pPr>
      <w:r>
        <w:rPr>
          <w:rFonts w:ascii="宋体" w:hAnsi="宋体" w:eastAsia="宋体" w:cs="宋体"/>
          <w:color w:val="000"/>
          <w:sz w:val="28"/>
          <w:szCs w:val="28"/>
        </w:rPr>
        <w:t xml:space="preserve">2、不足按结算，不足1平方米，按1平方米计算。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采购橱窗合同范本5</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内容包括产品名称、总计金额、规格、数量、计量单位、方向、颜色，以及门扇外板厚(mm）、门扇内板厚(mm）、门框钢板厚(mm）、门扇厚(cm）、底框、锁具等参数。</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②提供粉刷、灌浆。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②自负工程安装工具、量具、材料及工人生活日用品。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③在本工程没有安装完结之前，负责施工过程中的成品保护。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④自行负责施工人员的安全施工，发生安全事故乙方自负。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1、合同签订生效之日支付定金元，产品到工地即支付元，安装完毕内部验收合格后支付元，余款三个月内一次付清全款。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2025-06-21T10:37:13+08:00</dcterms:created>
  <dcterms:modified xsi:type="dcterms:W3CDTF">2025-06-21T10:37:13+08:00</dcterms:modified>
</cp:coreProperties>
</file>

<file path=docProps/custom.xml><?xml version="1.0" encoding="utf-8"?>
<Properties xmlns="http://schemas.openxmlformats.org/officeDocument/2006/custom-properties" xmlns:vt="http://schemas.openxmlformats.org/officeDocument/2006/docPropsVTypes"/>
</file>