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服装工厂面料采购合同实用(二十四篇)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服装工厂面料采购合同一乙方：_____管理有限公司与北京_____服装服饰有限公司就工服制作业务签订以下合同，共同遵守。第一条，产品名称、价格、数量。此价格经双方认可，作为本合同的附件。第二条，交货地点及时间。1、地点：北京市_______...</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服装工厂面料采购合同四</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服装工厂面料采购合同五</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服装工厂面料采购合同六</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服装工厂面料采购合同篇十一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服装工厂面料采购合同篇十四</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服装工厂面料采购合同篇十五</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 单位名称(章)： 单位名称(章)： 单位地址： 单位地址： 法定代表人： 法定代表人： 委托代理人： 委托代理人： 电 话： 电 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服装工厂面料采购合同篇十九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服装工厂面料采购合同篇二十一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服装工厂面料采购合同篇二十二</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服装工厂面料采购合同篇二十四</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