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2025年标准钢材供货合同 钢材供应合同通用(二十二篇)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标准钢材供货合同 钢材供应合同一供货方：______________________(以下简称乙方)鉴于：甲方因生产经营需要欲购买一批生产设备(包括机电产品及与甲方生产相配套的一切设备)，甲方选定乙方为其提供上述生产设备。甲乙双方本着平等自...</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钢材供应合同一</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钢材供应合同二</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钢材供应合同三</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钢材供应合同篇十九</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钢材供应合同篇二十</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