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最新建筑材料长期供货合同三篇(精选)</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建筑材料长期供货合同一承租人： （以下简称乙方）履行地点：承租人公司住所地根据《合同法》及有关法律规定，为明确双方权利和义务，遵循平等、自愿、公平和诚信原则，双方就租赁事宜协商一致，订立本合同。第二条 租赁期限租赁期限暂定为自 年 月 日至...</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建筑材料长期供货合同一</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其他约定： 。 第四条 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因甲方工程需要，由乙方徐俊光供给沙石材料，甲、乙双方本着自愿及平等互利的原则，根据《中华人民共和国民法典》和相关法律规定，经过充分协商，达成如下协议：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 位数 量单 价金 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