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关于社区讲奉献有作为发言稿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作为一名普通的共产党员，周总理做到了，他把自己的一生奉献给了党和人民，下面是小编收集整理的社区讲奉献有作为发言稿，欢迎阅读参考!讲奉献有作为发言稿(一)　　在奉献的道路上，雷锋执着地走着。他把对党的忠诚作为人生的最大的动力，得到群众的认...</w:t>
      </w:r>
    </w:p>
    <w:p>
      <w:pPr>
        <w:ind w:left="0" w:right="0" w:firstLine="560"/>
        <w:spacing w:before="450" w:after="450" w:line="312" w:lineRule="auto"/>
      </w:pPr>
      <w:r>
        <w:rPr>
          <w:rFonts w:ascii="宋体" w:hAnsi="宋体" w:eastAsia="宋体" w:cs="宋体"/>
          <w:color w:val="000"/>
          <w:sz w:val="28"/>
          <w:szCs w:val="28"/>
        </w:rPr>
        <w:t xml:space="preserve">　　作为一名普通的共产党员，周总理做到了，他把自己的一生奉献给了党和人民，下面是小编收集整理的社区讲奉献有作为发言稿，欢迎阅读参考!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讲奉献有作为发言稿(一)</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讲奉献有作为发言稿(二)</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讲奉献有作为发言稿(三)</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_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十八大之后，在全面从严治党的新形势下，对党员干部的要求概括起来就是忠诚、干净、担当，这正是中国共产党先进性和纯洁性的体现。习近平总书记在许多场合都谈到了好干部的标准。例如在20_年全国组织工作会议上，习总书记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_年全国组织工作会议上，这句话被习近平总书记引用。习近平总书记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