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美术特长班老师竞聘演讲稿开头</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演讲稿频道为大家整理的《美术特长班老师竞聘演讲稿开头》，希望大家喜欢。更多相关内容请参考以下链接：竞聘演讲稿 国旗下演讲稿 建党节演讲稿 八一建军节演讲稿 师德师风演讲稿 三分钟演讲稿尊敬的各位领导、各位老师：　　你们好!　　我要竞聘的是美...</w:t>
      </w:r>
    </w:p>
    <w:p>
      <w:pPr>
        <w:ind w:left="0" w:right="0" w:firstLine="560"/>
        <w:spacing w:before="450" w:after="450" w:line="312" w:lineRule="auto"/>
      </w:pPr>
      <w:r>
        <w:rPr>
          <w:rFonts w:ascii="宋体" w:hAnsi="宋体" w:eastAsia="宋体" w:cs="宋体"/>
          <w:color w:val="000"/>
          <w:sz w:val="28"/>
          <w:szCs w:val="28"/>
        </w:rPr>
        <w:t xml:space="preserve">演讲稿频道为大家整理的《美术特长班老师竞聘演讲稿开头》，希望大家喜欢。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