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师德师风演讲稿题目【三篇】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搜集的范文“师德师风演讲稿题目【三篇】”，供大家阅读参考，查看更多相关内容 ，请访问演讲稿频道。　　师德师风演讲稿题目【一】　　记得法国作家卢梭说过:榜样!榜样!没有榜样，你永远不能成功地教给儿童以任何东西。法国作家罗曼，罗兰也说过：要撒播...</w:t>
      </w:r>
    </w:p>
    <w:p>
      <w:pPr>
        <w:ind w:left="0" w:right="0" w:firstLine="560"/>
        <w:spacing w:before="450" w:after="450" w:line="312" w:lineRule="auto"/>
      </w:pPr>
      <w:r>
        <w:rPr>
          <w:rFonts w:ascii="宋体" w:hAnsi="宋体" w:eastAsia="宋体" w:cs="宋体"/>
          <w:color w:val="000"/>
          <w:sz w:val="28"/>
          <w:szCs w:val="28"/>
        </w:rPr>
        <w:t xml:space="preserve">搜集的范文“师德师风演讲稿题目【三篇】”，供大家阅读参考，查看更多相关内容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师德师风演讲稿题目【一】</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师德师风演讲稿题目【二】</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师德师风演讲稿题目【三】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