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党史故事我来讲演讲稿范文二十篇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以下是为大家整理的关于党史故事我来讲演讲稿的文章20篇 ,欢迎品鉴！第1篇: 党史故事我来讲演讲稿　　大家好！　　这次的党史学习让我感受颇多、受益匪浅。党在民不...</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以下是为大家整理的关于党史故事我来讲演讲稿的文章20篇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党史故事我来讲演讲稿</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第5篇: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党史故事我来讲演讲稿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党史故事我来讲演讲稿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第16篇: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党史故事我来讲演讲稿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_年的汶川，20_年的玉树，20_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第18篇: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近日重温了党史，它让我有了新的体会，让我更加坚定拥护中国共产党，因为它是最伟大的党。在新的历史条件下，保持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xx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共产党理论和三个代表重要思想，在共产党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党的xx大提出在新世纪新阶段要全面建设小康社会，开创中国特色社会主义事业的新局面，这是党在新时期三个代表重要思想的伟大实践，是党在新的历史条件下先进性的生动体现。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中国共产党的诞生，改变了近现代中国历史的走向，也影响了整个世界。中国共产党从争取执政地位，到建设和发展新中国，再到改革开放和科学发展、建设中国特色社会主义，党的历史，已成为全党宝贵的精神财富，成为中华民族历史文化的重要组成部分。在党的xx届四中全会上，中央要求把党史作为建设学习型党组织的三个重点学习内容之一。深入研究党的历史，认真学习党的历史，全面宣传党的历史，充分发挥党的历史以史鉴今、资政育人的作用，是党和国家工作大局中一项十分重要的工作。我一定会继续深入学习党史，坚决拥护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第20篇: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