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党代会分组讨论个人发言要点集合6篇</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以下是为大家整理的关于党代会分组讨论个人发言要点的文章6篇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