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关于县长在讨论市政府工作报告时的发言【三篇】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以下是为大家整理的关于县长在讨论市政府工作报告时的发言的文章3篇 ,欢迎品鉴！【篇一】县长在讨论市政府工作报告时的发言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以下是为大家整理的关于县长在讨论市政府工作报告时的发言的文章3篇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【篇一】县长在讨论市政府工作报告时的发言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【篇二】县长在讨论市政府工作报告时的发言</w:t>
      </w:r>
    </w:p>
    <w:p>
      <w:pPr>
        <w:ind w:left="0" w:right="0" w:firstLine="560"/>
        <w:spacing w:before="450" w:after="450" w:line="312" w:lineRule="auto"/>
      </w:pPr>
      <w:r>
        <w:rPr>
          <w:rFonts w:ascii="宋体" w:hAnsi="宋体" w:eastAsia="宋体" w:cs="宋体"/>
          <w:color w:val="000"/>
          <w:sz w:val="28"/>
          <w:szCs w:val="28"/>
        </w:rPr>
        <w:t xml:space="preserve">　　__县卫生计生系统深入贯彻落实__市人民政府关于印发《__市法治政府建设实施方案(20_-20_)》的通知(庆发〔20_〕4号)，中共__县委__县人民政府关于印发《__县法治政府实施方案(20_-20_年)》的通知(源发〔20_〕13号)文件中的具体工作要求，依法行政，充分发挥职能作用，进一步规范执法行为，现将我局20_年度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560"/>
        <w:spacing w:before="450" w:after="450" w:line="312" w:lineRule="auto"/>
      </w:pPr>
      <w:r>
        <w:rPr>
          <w:rFonts w:ascii="黑体" w:hAnsi="黑体" w:eastAsia="黑体" w:cs="黑体"/>
          <w:color w:val="000000"/>
          <w:sz w:val="36"/>
          <w:szCs w:val="36"/>
          <w:b w:val="1"/>
          <w:bCs w:val="1"/>
        </w:rPr>
        <w:t xml:space="preserve">【篇三】县长在讨论市政府工作报告时的发言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2025-06-17T08:38:31+08:00</dcterms:created>
  <dcterms:modified xsi:type="dcterms:W3CDTF">2025-06-17T08:38:31+08:00</dcterms:modified>
</cp:coreProperties>
</file>

<file path=docProps/custom.xml><?xml version="1.0" encoding="utf-8"?>
<Properties xmlns="http://schemas.openxmlformats.org/officeDocument/2006/custom-properties" xmlns:vt="http://schemas.openxmlformats.org/officeDocument/2006/docPropsVTypes"/>
</file>