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关于爱国的时政演讲稿</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爱国的时政演讲稿5篇爱国主义是一种神圣的感情，也是一种高尚的理想和实践，爱国主义是中华民族团结统一的精神纽带和不竭动力。演讲稿的核心内容要符合演讲场合，因此在写演讲稿的时候，要时刻注意这一点。你是否在找正准备撰写“关于爱国的时政演讲稿”...</w:t>
      </w:r>
    </w:p>
    <w:p>
      <w:pPr>
        <w:ind w:left="0" w:right="0" w:firstLine="560"/>
        <w:spacing w:before="450" w:after="450" w:line="312" w:lineRule="auto"/>
      </w:pPr>
      <w:r>
        <w:rPr>
          <w:rFonts w:ascii="宋体" w:hAnsi="宋体" w:eastAsia="宋体" w:cs="宋体"/>
          <w:color w:val="000"/>
          <w:sz w:val="28"/>
          <w:szCs w:val="28"/>
        </w:rPr>
        <w:t xml:space="preserve">关于爱国的时政演讲稿5篇</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演讲稿的核心内容要符合演讲场合，因此在写演讲稿的时候，要时刻注意这一点。你是否在找正准备撰写“关于爱国的时政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&gt;关于爱国的时政演讲稿篇1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&gt;关于爱国的时政演讲稿篇2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&gt;关于爱国的时政演讲稿篇3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&gt;关于爱国的时政演讲稿篇4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&gt;关于爱国的时政演讲稿篇5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