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个人发言提纲和对照检查材料十八篇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以下是为大家整理的关于个人发言提纲和对照检查材料的文章18篇 ,欢迎品鉴！【篇1】个人发言提纲和对照检查材料　按照党员组织生活会的要求，我认真对照自己平时...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以下是为大家整理的关于个人发言提纲和对照检查材料的文章18篇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增强斗争精神的要求时自己是热血澎湃的，思想上情感上都是高度认同的，能够认识到党内不良风气和现象、损害党的利益，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XX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根据省公司党委《关于召开20_年度基层党组织组织生活会和开展民主评议党员的通知》( 党〔20_〕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&gt;二、查摆出的主要问题</w:t>
      </w:r>
    </w:p>
    <w:p>
      <w:pPr>
        <w:ind w:left="0" w:right="0" w:firstLine="560"/>
        <w:spacing w:before="450" w:after="450" w:line="312" w:lineRule="auto"/>
      </w:pPr>
      <w:r>
        <w:rPr>
          <w:rFonts w:ascii="宋体" w:hAnsi="宋体" w:eastAsia="宋体" w:cs="宋体"/>
          <w:color w:val="000"/>
          <w:sz w:val="28"/>
          <w:szCs w:val="28"/>
        </w:rPr>
        <w:t xml:space="preserve">　　(一)　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_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 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&gt;四、改进方向及整改措施</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【篇8】个人发言提纲和对照检查材料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560"/>
        <w:spacing w:before="450" w:after="450" w:line="312" w:lineRule="auto"/>
      </w:pPr>
      <w:r>
        <w:rPr>
          <w:rFonts w:ascii="黑体" w:hAnsi="黑体" w:eastAsia="黑体" w:cs="黑体"/>
          <w:color w:val="000000"/>
          <w:sz w:val="36"/>
          <w:szCs w:val="36"/>
          <w:b w:val="1"/>
          <w:bCs w:val="1"/>
        </w:rPr>
        <w:t xml:space="preserve">【篇9】个人发言提纲和对照检查材料</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【篇10】个人发言提纲和对照检查材料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2025-06-17T03:13:09+08:00</dcterms:created>
  <dcterms:modified xsi:type="dcterms:W3CDTF">2025-06-17T03:13:09+08:00</dcterms:modified>
</cp:coreProperties>
</file>

<file path=docProps/custom.xml><?xml version="1.0" encoding="utf-8"?>
<Properties xmlns="http://schemas.openxmlformats.org/officeDocument/2006/custom-properties" xmlns:vt="http://schemas.openxmlformats.org/officeDocument/2006/docPropsVTypes"/>
</file>