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党风廉政警示教育大会上讲话稿三篇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提防恐惧,守住底线,进一步弘扬清正廉洁,筑牢反腐败防线。 以下是为大家整理的关于党风廉政警示教育大会上讲话稿的文章3篇 ,欢迎品鉴！【篇一】党风廉政警示教育大会上讲话稿　　同志们：　　在“十四五”开局之年，我们召开党风廉政警示教育大会，通报...</w:t>
      </w:r>
    </w:p>
    <w:p>
      <w:pPr>
        <w:ind w:left="0" w:right="0" w:firstLine="560"/>
        <w:spacing w:before="450" w:after="450" w:line="312" w:lineRule="auto"/>
      </w:pPr>
      <w:r>
        <w:rPr>
          <w:rFonts w:ascii="宋体" w:hAnsi="宋体" w:eastAsia="宋体" w:cs="宋体"/>
          <w:color w:val="000"/>
          <w:sz w:val="28"/>
          <w:szCs w:val="28"/>
        </w:rPr>
        <w:t xml:space="preserve">提防恐惧,守住底线,进一步弘扬清正廉洁,筑牢反腐败防线。 以下是为大家整理的关于党风廉政警示教育大会上讲话稿的文章3篇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【篇一】党风廉政警示教育大会上讲话稿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【篇二】党风廉政警示教育大会上讲话稿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　&gt;　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　　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　　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　　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&gt;　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胡锦涛同志指出，‚党的性质和宗旨决定了我们党必须坚持立党为公、执政为民，‘三个代表’重要思想的出发点和落脚点是维护好、实现好、发展好最广大人民的根本利益。全面贯彻‘三个代表’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　　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　　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　&gt;　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　　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【篇三】党风廉政警示教育大会上讲话稿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2025-05-02T15:56:23+08:00</dcterms:created>
  <dcterms:modified xsi:type="dcterms:W3CDTF">2025-05-02T15:56:23+08:00</dcterms:modified>
</cp:coreProperties>
</file>

<file path=docProps/custom.xml><?xml version="1.0" encoding="utf-8"?>
<Properties xmlns="http://schemas.openxmlformats.org/officeDocument/2006/custom-properties" xmlns:vt="http://schemas.openxmlformats.org/officeDocument/2006/docPropsVTypes"/>
</file>