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202_年小学生宪法日讲话稿5篇范文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下面给大家分享一些关于20_年小学生宪法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大家上午好!我是来自一年级(2)班的__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__年。为了弘扬宪法精神，20_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