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五个带头专题组织生活会发言材料范文(精选9篇)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五个带头专题组织生活会发言材料范文(精选9篇),欢迎品鉴![_TAG_h2]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五个带头专题组织生活会发言材料7</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五个带头专题组织生活会发言材料9</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自从来到湖经后，虽然中间我有过退缩，但是在这个用心向上的群众中，我得到了组织的培育、领导的关心和同志们的热心帮忙，为自身进一步加强党性修养，提高政治素质起到了用心的作用。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用心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资料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2、没有充分起到模范带头作用。自己是一名共产党员，平时把自己混同于一般群众，降低了对自己的要求和标准。学习和活动都不是很用心，参加群众活动少，服务意识不够。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4、沟通不够。平时本不爱多说话或与人交流的毛病，在与党员同志和老师方面更突出。本来自己存在的问题很多，再又不用心解决，也不与同志和老师交流，导致问题进一步加大、激化，带来了更严重的后果。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3、在应对困难的时候内心不够强大，有时会把困难放大了看，打击了用心性，做事畏首畏尾，不能放开。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4、加强与同志和老师们的沟通、交流，悉心吸取意见推荐，促进自身发展。</w:t>
      </w:r>
    </w:p>
    <w:p>
      <w:pPr>
        <w:ind w:left="0" w:right="0" w:firstLine="560"/>
        <w:spacing w:before="450" w:after="450" w:line="312" w:lineRule="auto"/>
      </w:pPr>
      <w:r>
        <w:rPr>
          <w:rFonts w:ascii="宋体" w:hAnsi="宋体" w:eastAsia="宋体" w:cs="宋体"/>
          <w:color w:val="000"/>
          <w:sz w:val="28"/>
          <w:szCs w:val="28"/>
        </w:rPr>
        <w:t xml:space="preserve">　　5、用心参加群众活动，在活动中去更好的更多的帮忙他人。强化自己的服务意识，发扬党员不怕苦不怕累的精神，以真诚的心去关怀他人，让大家切实体会到党员的存在。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　　组织生活会发言材料2</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